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59" w:rsidRPr="00477647" w:rsidRDefault="000741FE" w:rsidP="000D108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</w:rPr>
        <w:t>OR.271.9</w:t>
      </w:r>
      <w:r w:rsidR="000D108B">
        <w:rPr>
          <w:rFonts w:ascii="Times New Roman" w:hAnsi="Times New Roman" w:cs="Times New Roman"/>
        </w:rPr>
        <w:t xml:space="preserve">.2022.RD                                                      </w:t>
      </w:r>
      <w:r w:rsidR="000D1E59" w:rsidRPr="00477647">
        <w:rPr>
          <w:rFonts w:ascii="Arial" w:hAnsi="Arial" w:cs="Arial"/>
          <w:sz w:val="22"/>
          <w:szCs w:val="22"/>
        </w:rPr>
        <w:t>Załącznik nr 5 do  zapytania ofertowego</w:t>
      </w:r>
    </w:p>
    <w:p w:rsidR="000D1E59" w:rsidRPr="00477647" w:rsidRDefault="000D1E59" w:rsidP="000D1E59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0D1E59" w:rsidRPr="000D1E59" w:rsidRDefault="000D1E59" w:rsidP="000D1E5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77647">
        <w:rPr>
          <w:rFonts w:ascii="Arial" w:hAnsi="Arial" w:cs="Arial"/>
          <w:b/>
          <w:bCs/>
          <w:sz w:val="22"/>
          <w:szCs w:val="22"/>
        </w:rPr>
        <w:t xml:space="preserve">Szczegółowy opis przedmiotu zamówienia : </w:t>
      </w:r>
      <w:r w:rsidRPr="006C0560">
        <w:rPr>
          <w:b/>
          <w:i/>
          <w:noProof/>
        </w:rPr>
        <w:t>„</w:t>
      </w:r>
      <w:r w:rsidR="000B64AB" w:rsidRPr="007F1C3A">
        <w:rPr>
          <w:rFonts w:ascii="Arial" w:hAnsi="Arial" w:cs="Arial"/>
          <w:b/>
          <w:noProof/>
          <w:sz w:val="22"/>
          <w:szCs w:val="22"/>
        </w:rPr>
        <w:t>Zakup zestawów komputerowych z oprogramowaniem biurowym (7 szt.) oraz urządzeń podtrzymujących napięcie UPS</w:t>
      </w:r>
      <w:r w:rsidR="00175EA2">
        <w:rPr>
          <w:rFonts w:ascii="Arial" w:hAnsi="Arial" w:cs="Arial"/>
          <w:b/>
          <w:noProof/>
          <w:sz w:val="22"/>
          <w:szCs w:val="22"/>
        </w:rPr>
        <w:t xml:space="preserve"> 20 szt</w:t>
      </w:r>
      <w:r w:rsidRPr="006C0560">
        <w:rPr>
          <w:b/>
          <w:noProof/>
        </w:rPr>
        <w:t xml:space="preserve">”  </w:t>
      </w:r>
      <w:r w:rsidRPr="006C0560">
        <w:rPr>
          <w:noProof/>
          <w:lang w:eastAsia="ar-SA"/>
        </w:rPr>
        <w:t xml:space="preserve">w ramach </w:t>
      </w:r>
      <w:r w:rsidRPr="006C0560">
        <w:rPr>
          <w:noProof/>
          <w:spacing w:val="-4"/>
        </w:rPr>
        <w:t xml:space="preserve">projektu „Cyfrowa Gmina” współfinansowanego przez Unię Europejską w ramach </w:t>
      </w:r>
      <w:r w:rsidRPr="006C0560">
        <w:rPr>
          <w:noProof/>
        </w:rPr>
        <w:t>Programu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Operacyjnego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Polska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lata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2014-2020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Osi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Priorytetowej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V„Rozwój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–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REACT-EU”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ramach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działania 5.1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zagrożenia” w ramach umowy o powierzenie grantu o numerze 4050/2/2022</w:t>
      </w:r>
      <w:r w:rsidRPr="006C0560">
        <w:t xml:space="preserve"> </w:t>
      </w:r>
    </w:p>
    <w:p w:rsidR="000D1E59" w:rsidRDefault="000D1E59" w:rsidP="000D1E59">
      <w:pPr>
        <w:autoSpaceDE w:val="0"/>
        <w:adjustRightInd w:val="0"/>
        <w:spacing w:line="360" w:lineRule="auto"/>
        <w:rPr>
          <w:rFonts w:ascii="Arial" w:hAnsi="Arial" w:cs="Arial"/>
          <w:b/>
        </w:rPr>
      </w:pPr>
    </w:p>
    <w:p w:rsidR="008E5E58" w:rsidRPr="00AA5727" w:rsidRDefault="008E5E58" w:rsidP="008E5E58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E5E58" w:rsidRPr="00AA5727" w:rsidRDefault="008E5E58" w:rsidP="008E5E58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B64AB" w:rsidRPr="009E582D" w:rsidRDefault="009E582D" w:rsidP="008E5E58">
      <w:pPr>
        <w:pStyle w:val="Akapitzlist"/>
        <w:widowControl/>
        <w:numPr>
          <w:ilvl w:val="0"/>
          <w:numId w:val="8"/>
        </w:numPr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lang w:bidi="ar-SA"/>
        </w:rPr>
      </w:pPr>
      <w:r w:rsidRPr="009E582D">
        <w:rPr>
          <w:rFonts w:ascii="Arial" w:hAnsi="Arial" w:cs="Arial"/>
          <w:b/>
          <w:kern w:val="0"/>
          <w:lang w:bidi="ar-SA"/>
        </w:rPr>
        <w:t>Z</w:t>
      </w:r>
      <w:r w:rsidRPr="009E582D">
        <w:rPr>
          <w:rFonts w:ascii="Arial" w:hAnsi="Arial" w:cs="Arial"/>
          <w:b/>
          <w:noProof/>
        </w:rPr>
        <w:t>estaw komputerowy</w:t>
      </w:r>
      <w:r w:rsidR="000B64AB" w:rsidRPr="009E582D">
        <w:rPr>
          <w:rFonts w:ascii="Arial" w:hAnsi="Arial" w:cs="Arial"/>
          <w:b/>
          <w:noProof/>
        </w:rPr>
        <w:t xml:space="preserve"> z oprogramowaniem biurowym (7 szt.)</w:t>
      </w:r>
    </w:p>
    <w:p w:rsidR="008E5E58" w:rsidRPr="00AA5727" w:rsidRDefault="008E5E58" w:rsidP="008E5E58">
      <w:pPr>
        <w:widowControl/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8E5E58" w:rsidRPr="009E582D" w:rsidRDefault="009E582D" w:rsidP="0087716A">
      <w:pPr>
        <w:pStyle w:val="Nagwek2"/>
        <w:keepLines w:val="0"/>
        <w:numPr>
          <w:ilvl w:val="0"/>
          <w:numId w:val="17"/>
        </w:numPr>
        <w:spacing w:before="24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9E582D">
        <w:rPr>
          <w:rFonts w:ascii="Arial" w:hAnsi="Arial" w:cs="Arial"/>
          <w:color w:val="auto"/>
          <w:sz w:val="22"/>
          <w:szCs w:val="22"/>
        </w:rPr>
        <w:t xml:space="preserve">Komputer stacjonarny (7 </w:t>
      </w:r>
      <w:proofErr w:type="spellStart"/>
      <w:r w:rsidRPr="009E582D">
        <w:rPr>
          <w:rFonts w:ascii="Arial" w:hAnsi="Arial" w:cs="Arial"/>
          <w:color w:val="auto"/>
          <w:sz w:val="22"/>
          <w:szCs w:val="22"/>
        </w:rPr>
        <w:t>szt</w:t>
      </w:r>
      <w:proofErr w:type="spellEnd"/>
      <w:r w:rsidRPr="009E582D">
        <w:rPr>
          <w:rFonts w:ascii="Arial" w:hAnsi="Arial" w:cs="Arial"/>
          <w:color w:val="auto"/>
          <w:sz w:val="22"/>
          <w:szCs w:val="22"/>
        </w:rPr>
        <w:t xml:space="preserve">) - </w:t>
      </w:r>
      <w:r w:rsidR="008E5E58" w:rsidRPr="009E582D">
        <w:rPr>
          <w:rFonts w:ascii="Arial" w:hAnsi="Arial" w:cs="Arial"/>
          <w:color w:val="auto"/>
          <w:sz w:val="22"/>
          <w:szCs w:val="22"/>
        </w:rPr>
        <w:t xml:space="preserve">specyfikacja: 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 xml:space="preserve">Procesor klasy x64 osiągający w teście </w:t>
      </w:r>
      <w:proofErr w:type="spellStart"/>
      <w:r w:rsidRPr="00A8084D">
        <w:rPr>
          <w:rFonts w:ascii="Arial" w:hAnsi="Arial" w:cs="Arial"/>
          <w:sz w:val="22"/>
          <w:szCs w:val="22"/>
        </w:rPr>
        <w:t>Passmark</w:t>
      </w:r>
      <w:proofErr w:type="spellEnd"/>
      <w:r w:rsidRPr="00A8084D">
        <w:rPr>
          <w:rFonts w:ascii="Arial" w:hAnsi="Arial" w:cs="Arial"/>
          <w:sz w:val="22"/>
          <w:szCs w:val="22"/>
        </w:rPr>
        <w:t xml:space="preserve"> CPU Mark wynik </w:t>
      </w:r>
      <w:r w:rsidRPr="00A8084D">
        <w:rPr>
          <w:rFonts w:ascii="Arial" w:hAnsi="Arial" w:cs="Arial"/>
          <w:b/>
          <w:bCs/>
          <w:sz w:val="22"/>
          <w:szCs w:val="22"/>
        </w:rPr>
        <w:t xml:space="preserve">min. 12300 </w:t>
      </w:r>
      <w:r w:rsidRPr="00A8084D">
        <w:rPr>
          <w:rFonts w:ascii="Arial" w:hAnsi="Arial" w:cs="Arial"/>
          <w:sz w:val="22"/>
          <w:szCs w:val="22"/>
        </w:rPr>
        <w:t xml:space="preserve">punktów według wyników ze strony </w:t>
      </w:r>
      <w:hyperlink r:id="rId7" w:history="1">
        <w:r w:rsidRPr="00A8084D">
          <w:rPr>
            <w:rStyle w:val="Hipercze"/>
            <w:rFonts w:ascii="Arial" w:hAnsi="Arial" w:cs="Arial"/>
            <w:sz w:val="22"/>
            <w:szCs w:val="22"/>
          </w:rPr>
          <w:t>https://www.cpubenchmark.net/cpu_list.php</w:t>
        </w:r>
      </w:hyperlink>
      <w:r w:rsidRPr="00A808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084D">
        <w:rPr>
          <w:rFonts w:ascii="Arial" w:hAnsi="Arial" w:cs="Arial"/>
          <w:sz w:val="22"/>
          <w:szCs w:val="22"/>
        </w:rPr>
        <w:t xml:space="preserve">Zamawiający oceniając spełnienie powyższego parametru będzie brał pod uwagę wyłącznie dane zawarte na stronie internetowej </w:t>
      </w:r>
      <w:hyperlink r:id="rId8" w:history="1">
        <w:r w:rsidRPr="00A8084D">
          <w:rPr>
            <w:rStyle w:val="Hipercze"/>
            <w:rFonts w:ascii="Arial" w:hAnsi="Arial" w:cs="Arial"/>
            <w:sz w:val="22"/>
            <w:szCs w:val="22"/>
          </w:rPr>
          <w:t>https://www.cpubenchmark.net/</w:t>
        </w:r>
      </w:hyperlink>
      <w:r w:rsidRPr="00A8084D">
        <w:rPr>
          <w:rFonts w:ascii="Arial" w:hAnsi="Arial" w:cs="Arial"/>
          <w:sz w:val="22"/>
          <w:szCs w:val="22"/>
        </w:rPr>
        <w:t xml:space="preserve"> 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Chipset: rekomendowany przez producenta procesora.</w:t>
      </w:r>
    </w:p>
    <w:p w:rsidR="008E5E58" w:rsidRPr="00A8084D" w:rsidRDefault="00B93A32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Pamięć RAM 8</w:t>
      </w:r>
      <w:r w:rsidR="008E5E58" w:rsidRPr="00A8084D">
        <w:rPr>
          <w:rFonts w:ascii="Arial" w:hAnsi="Arial" w:cs="Arial"/>
          <w:sz w:val="22"/>
          <w:szCs w:val="22"/>
        </w:rPr>
        <w:t xml:space="preserve"> GB (DIMM DDR4, 2666 MHz)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Maksymalna obsługiwana ilość pamięci RAM 64 GB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Liczba gniazd pamięci (ogółem / wolne) 2/0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Zintegrowana karta graficzna z dynamicznie przydzielają pamięcią współdzieloną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Wielkość pamięci karty graficznej: Pamięć współdzielona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 xml:space="preserve">Dysk SSD </w:t>
      </w:r>
      <w:proofErr w:type="spellStart"/>
      <w:r w:rsidRPr="00A8084D">
        <w:rPr>
          <w:rFonts w:ascii="Arial" w:hAnsi="Arial" w:cs="Arial"/>
          <w:sz w:val="22"/>
          <w:szCs w:val="22"/>
        </w:rPr>
        <w:t>PCIe</w:t>
      </w:r>
      <w:proofErr w:type="spellEnd"/>
      <w:r w:rsidRPr="00A8084D">
        <w:rPr>
          <w:rFonts w:ascii="Arial" w:hAnsi="Arial" w:cs="Arial"/>
          <w:sz w:val="22"/>
          <w:szCs w:val="22"/>
        </w:rPr>
        <w:t xml:space="preserve"> 512 GB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Opcje dołożenia dysków Możliwość montażu dysku SATA (brak elementów montażowych)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Wbudowane napędy optyczne: Nagrywarka DVD+/-RW </w:t>
      </w:r>
      <w:proofErr w:type="spellStart"/>
      <w:r w:rsidRPr="00AA5727">
        <w:rPr>
          <w:rFonts w:ascii="Arial" w:hAnsi="Arial" w:cs="Arial"/>
          <w:sz w:val="22"/>
          <w:szCs w:val="22"/>
        </w:rPr>
        <w:t>DualLayer</w:t>
      </w:r>
      <w:proofErr w:type="spellEnd"/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Dźwięk: Zintegrowana karta dźwiękowa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Łączność: LAN 10/100/1000 </w:t>
      </w:r>
      <w:proofErr w:type="spellStart"/>
      <w:r w:rsidRPr="00AA5727">
        <w:rPr>
          <w:rFonts w:ascii="Arial" w:hAnsi="Arial" w:cs="Arial"/>
          <w:sz w:val="22"/>
          <w:szCs w:val="22"/>
        </w:rPr>
        <w:t>Mbps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Złącza - panel przedni</w:t>
      </w:r>
    </w:p>
    <w:p w:rsidR="008E5E58" w:rsidRPr="00AA5727" w:rsidRDefault="008E5E58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USB 2.0 - 2 szt.</w:t>
      </w:r>
    </w:p>
    <w:p w:rsidR="008E5E58" w:rsidRPr="00AA5727" w:rsidRDefault="008E5E58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USB 3.2 Gen. 1 - 2 szt.</w:t>
      </w:r>
    </w:p>
    <w:p w:rsidR="008E5E58" w:rsidRPr="00AA5727" w:rsidRDefault="008E5E58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Wyjście słuchawkowe/wejście mikrofonowe - 1 szt.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Złącza - panel tylny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USB 2.0 - 2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>USB 3.2 Gen. 1 - 2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Wyjście audio - 1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RJ-45 (LAN) - 1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HDMI - 1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Display Port - 1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AC-in (wejście zasilania) - 1 szt.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Porty wewnętrzne (wolne)</w:t>
      </w:r>
    </w:p>
    <w:p w:rsidR="008E5E58" w:rsidRPr="00AA5727" w:rsidRDefault="008E5E58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PCI-e x16 - 1 szt.</w:t>
      </w:r>
    </w:p>
    <w:p w:rsidR="008E5E58" w:rsidRPr="00AA5727" w:rsidRDefault="008E5E58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PCI-e x1 - 1 szt.</w:t>
      </w:r>
    </w:p>
    <w:p w:rsidR="008E5E58" w:rsidRPr="00AA5727" w:rsidRDefault="008E5E58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SATA III - 1 szt.</w:t>
      </w:r>
    </w:p>
    <w:p w:rsidR="008E5E58" w:rsidRPr="00AA5727" w:rsidRDefault="008E5E58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Kieszeń wewnętrzna 3,5"/2,5" - 1 szt.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Zasilacz: 200 W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Dodatkowe informacje: </w:t>
      </w:r>
    </w:p>
    <w:p w:rsidR="008E5E58" w:rsidRPr="00AA5727" w:rsidRDefault="008E5E58" w:rsidP="0087716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Możliwość zabezpieczenia linką (port </w:t>
      </w:r>
      <w:proofErr w:type="spellStart"/>
      <w:r w:rsidRPr="00AA5727">
        <w:rPr>
          <w:rFonts w:ascii="Arial" w:hAnsi="Arial" w:cs="Arial"/>
          <w:sz w:val="22"/>
          <w:szCs w:val="22"/>
        </w:rPr>
        <w:t>Kensington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Lock)</w:t>
      </w:r>
    </w:p>
    <w:p w:rsidR="008E5E58" w:rsidRPr="00AA5727" w:rsidRDefault="008E5E58" w:rsidP="0087716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Wbudowany moduł TPM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Mysz i klawiatura w zestawie</w:t>
      </w:r>
    </w:p>
    <w:p w:rsidR="008E5E58" w:rsidRPr="00AA5727" w:rsidRDefault="008E5E58" w:rsidP="0087716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Klawiatura przewodowa</w:t>
      </w:r>
    </w:p>
    <w:p w:rsidR="008E5E58" w:rsidRPr="00AA5727" w:rsidRDefault="008E5E58" w:rsidP="0087716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Mysz przewodowa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Dołączone akcesoria: Kabel zasilający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Dołączone oprogramowanie: Partycja </w:t>
      </w:r>
      <w:proofErr w:type="spellStart"/>
      <w:r w:rsidRPr="00AA5727">
        <w:rPr>
          <w:rFonts w:ascii="Arial" w:hAnsi="Arial" w:cs="Arial"/>
          <w:sz w:val="22"/>
          <w:szCs w:val="22"/>
        </w:rPr>
        <w:t>recovery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(opcja przywrócenia systemu z dysku)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Gwarancja 36 miesięcy</w:t>
      </w:r>
    </w:p>
    <w:p w:rsidR="00A8084D" w:rsidRDefault="008E5E58" w:rsidP="00A8084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Rodzaj gwarancji: </w:t>
      </w:r>
      <w:proofErr w:type="spellStart"/>
      <w:r w:rsidRPr="00AA5727">
        <w:rPr>
          <w:rFonts w:ascii="Arial" w:hAnsi="Arial" w:cs="Arial"/>
          <w:sz w:val="22"/>
          <w:szCs w:val="22"/>
        </w:rPr>
        <w:t>Next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Business Day 36 miesięcy</w:t>
      </w:r>
    </w:p>
    <w:p w:rsidR="00A8084D" w:rsidRDefault="00A8084D" w:rsidP="00A8084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Fabrycznie zainstalowany system operacyjny.</w:t>
      </w:r>
    </w:p>
    <w:p w:rsidR="00A8084D" w:rsidRDefault="00A8084D" w:rsidP="00A8084D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A8084D" w:rsidRPr="00A8084D" w:rsidRDefault="00A8084D" w:rsidP="00A8084D">
      <w:p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System operacyjny klasy PC w wersji 64-bitowej musi spełniać następujące wymagania poprzez natywne dla niego mechanizmy, bez użycia dodatkowych aplikacji (bez jakichkolwiek emulatorów, implementacji lub programów towarzyszących):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dokonywania aktualizacji i poprawek systemu przez Internet z możliwością wyboru instalowanych poprawek.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Możliwość dokonywania uaktualnień sterowników urządzeń przez Internet – witrynę Producenta systemu.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Darmowe aktualizacje w ramach wersji systemu operacyjnego przez Internet (niezbędne aktualizacje, poprawki, biuletyny bezpieczeństwa muszą być dostarczane bez dodatkowych opłat) – wymagane podanie nazwy strony serwera WWW.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Internetowa aktualizacja zapewniona w języku polskim.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lastRenderedPageBreak/>
        <w:t xml:space="preserve">Wbudowana zapora internetowa (firewall) dla ochrony połączeń internetowych; zintegrowana z systemem konsola do zarządzania ustawieniami zapory i regułami IP v4 i v6.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Zlokalizowane w języku polskim, co najmniej następujące elementy: menu, odtwarzacz multimediów, pomoc, komunikaty systemowe.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Wsparcie dla większości powszechnie używanych urządzeń peryferyjnych (drukarek, urządzeń sieciowych, standardów USB, </w:t>
      </w:r>
      <w:proofErr w:type="spell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Plug&amp;Play</w:t>
      </w:r>
      <w:proofErr w:type="spell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, </w:t>
      </w:r>
      <w:proofErr w:type="spell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Wi-Fi</w:t>
      </w:r>
      <w:proofErr w:type="spell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Funkcjonalność automatycznej zmiany domyślnej drukarki w zależności od sieci, do której podłączony jest komputer.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Możliwość zdalnej automatycznej instalacji, konfiguracji, administrowania oraz aktualizowania systemu.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Zabezpieczony hasłem hierarchiczny dostęp do systemu, konta i profile użytkowników zarządzane zdalnie; praca systemu w trybie ochrony kont użytkowników.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Zintegrowany z systemem moduł wyszukiwania informacji (plików różnego typu) dostępny z kilku poziomów: poziom menu, poziom otwartego okna systemu operacyjnego; system wyszukiwania oparty na konfigurowalnym przez użytkownika module indeksacji zasobów lokalnych.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Zintegrowane z systemem operacyjnym narzędzia zwalczające złośliwe oprogramowanie; aktualizacje dostępne u Producenta nieodpłatnie bez ograniczeń czasowych.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Funkcje związane z obsługą komputerów typu TABLET PC, z wbudowanym modułem „uczenia się” pisma użytkownika – obsługa języka polskiego.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Funkcjonalność rozpoznawania mowy, pozwalającą na sterowanie komputerem głosowo, wraz z modułem „uczenia się” głosu użytkownika.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Zintegrowany z systemem operacyjnym moduł synchronizacji komputera z urządzeniami zewnętrznymi.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Wbudowany system pomocy w języku polskim.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Certyfikat (dokument) Producenta oprogramowania potwierdzający poprawność pracy systemu operacyjnego z dostarczanym sprzętem.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przystosowania stanowiska dla osób niepełnosprawnych (np. słabo widzących).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zarządzania stacją roboczą poprzez polityki – przez politykę rozumiemy zestaw reguł definiujących lub ograniczających funkcjonalność systemu lub aplikacji.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Wdrażanie IPSEC oparte na zestawach reguł definiujących ustawienia zarządzanych w sposób centralny.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Automatyczne występowanie i używanie (wystawianie) certyfikatów PKI X.509.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Wsparcie dla logowania przy pomocy </w:t>
      </w:r>
      <w:proofErr w:type="spell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smartcard</w:t>
      </w:r>
      <w:proofErr w:type="spell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lastRenderedPageBreak/>
        <w:t xml:space="preserve">Rozbudowane polityki bezpieczeństwa – polityki dla systemu operacyjnego i dla wskazanych aplikacji.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Narzędzia służące do administracji, do wykonywania kopii zapasowych polityk i ich odtwarzania oraz generowania raportów z ustawień polityk.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Wsparcie dla Sun Java i .NET Framework 1.1 i 2.0 i 3.0 i 4.5 i 4.6 i 4.7 – możliwość uruchomienia aplikacji działających we wskazanych środowiskach.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Wsparcie dla </w:t>
      </w:r>
      <w:proofErr w:type="spell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JScript</w:t>
      </w:r>
      <w:proofErr w:type="spell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i </w:t>
      </w:r>
      <w:proofErr w:type="spell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VBScript</w:t>
      </w:r>
      <w:proofErr w:type="spell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– możliwość uruchamiania interpretera poleceń.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Zdalna pomoc i współdzielenie aplikacji – możliwość zdalnego przejęcia sesji zalogowanego użytkownika celem rozwiązania problemu z komputerem.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Rozwiązanie umożliwiające wdrożenie nowego obrazu poprzez zdalną instalację.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Graficzne środowisko instalacji i konfiguracji.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Transakcyjny system plików pozwalający na stosowanie przydziałów (ang. </w:t>
      </w:r>
      <w:proofErr w:type="spell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quota</w:t>
      </w:r>
      <w:proofErr w:type="spell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) na dysku dla użytkowników oraz zapewniający większą niezawodność i pozwalający tworzyć kopie zapasowe.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Zarządzanie kontami użytkowników sieci oraz urządzeniami sieciowymi tj. drukarki, modemy, woluminy dyskowe, usługi katalogowe.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Udostępnianie modemu.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Oprogramowanie dla tworzenia kopii zapasowych (Backup); automatyczne wykonywanie kopii plików z możliwością automatycznego przywrócenia wersji wcześniejszej.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Możliwość przywracania plików systemowych.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Funkcjonalność </w:t>
      </w: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pozwalająca na identyfikację sieci komputerowych, do których jest system podłączony, zapamiętywanie ustawień i przypisywanie do min. 3 kategorii bezpieczeństwa (z predefiniowanymi odpowiednio do kategorii ustawieniami zapory sieciowej, udostępniania plików itp.).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blokowania lub dopuszczania dowolnych urządzeń peryferyjnych za pomocą polityk grupowych (np. przy użyciu numerów identyfikacyjnych sprzętu).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Możliwość, w ramach posiadanej licencji, do używania co najmniej dwóch wcześniejszych wersji oprogramowania systemowego. </w:t>
      </w:r>
    </w:p>
    <w:p w:rsidR="00A8084D" w:rsidRPr="00AA5727" w:rsidRDefault="00A8084D" w:rsidP="00A8084D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</w:p>
    <w:p w:rsidR="00A8084D" w:rsidRPr="00AA5727" w:rsidRDefault="00A8084D" w:rsidP="00A8084D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Wszystkie wymienione cechy spełnione są przez system Windows </w:t>
      </w:r>
      <w:r>
        <w:rPr>
          <w:rFonts w:ascii="Arial" w:eastAsia="Times New Roman" w:hAnsi="Arial" w:cs="Arial"/>
          <w:sz w:val="22"/>
          <w:szCs w:val="22"/>
          <w:lang w:eastAsia="ar-SA"/>
        </w:rPr>
        <w:t>10</w:t>
      </w: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Professional PL 64bit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 oraz </w:t>
      </w: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Windows </w:t>
      </w:r>
      <w:r>
        <w:rPr>
          <w:rFonts w:ascii="Arial" w:eastAsia="Times New Roman" w:hAnsi="Arial" w:cs="Arial"/>
          <w:sz w:val="22"/>
          <w:szCs w:val="22"/>
          <w:lang w:eastAsia="ar-SA"/>
        </w:rPr>
        <w:t>11</w:t>
      </w: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Professional PL 64bit. Ponadto, jest on preferowany ze względu na dotychczasowe używanie systemów rodziny Windows, a tym samym: </w:t>
      </w:r>
    </w:p>
    <w:p w:rsidR="00A8084D" w:rsidRPr="00AA5727" w:rsidRDefault="00A8084D" w:rsidP="00A8084D">
      <w:pPr>
        <w:widowControl/>
        <w:numPr>
          <w:ilvl w:val="0"/>
          <w:numId w:val="15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lastRenderedPageBreak/>
        <w:t xml:space="preserve">przystosowanie środowiska informatycznego pod ten system (narzędzia sieciowe, stosowane specjalistyczne oprogramowanie); </w:t>
      </w:r>
    </w:p>
    <w:p w:rsidR="00A8084D" w:rsidRPr="00AA5727" w:rsidRDefault="00A8084D" w:rsidP="00A8084D">
      <w:pPr>
        <w:widowControl/>
        <w:numPr>
          <w:ilvl w:val="0"/>
          <w:numId w:val="15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przeszkolenie administratorów systemów i zwykłych użytkowników; </w:t>
      </w:r>
    </w:p>
    <w:p w:rsidR="00A8084D" w:rsidRPr="00AA5727" w:rsidRDefault="00A8084D" w:rsidP="00A8084D">
      <w:pPr>
        <w:widowControl/>
        <w:numPr>
          <w:ilvl w:val="0"/>
          <w:numId w:val="15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opracowanie zasad organizacyjnych (z uwzględnienie systemów niejawnych). </w:t>
      </w:r>
    </w:p>
    <w:p w:rsidR="00A8084D" w:rsidRPr="009E582D" w:rsidRDefault="00A8084D" w:rsidP="00A8084D">
      <w:pPr>
        <w:spacing w:after="200"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>Jeżeli oferent zaproponuje inne rozwiązanie zgodny z wymienionymi kryteriami równoważności musi zapewnić pełne wdrożenie oferowanego rozwiązania, jest zobowiązany do pokrycia wszelkich możliwych kosztów, wymaganych w czasie wdrożenia oferowanego rozwiązania, w szczególności związanych z dostosowaniem infrastruktury informatycznej, oprogramowania nią zarządzającego, systemowego i narzędziowego (licencje, wdrożenie), serwisu gwarancyjnego oraz kosztów certyfikowanych szkoleń dla administratorów i użytkowników oferowanego rozwiązania oraz zapewnić współpracę z używanym obecnie środowiskiem informatycznym.</w:t>
      </w:r>
    </w:p>
    <w:p w:rsidR="00A8084D" w:rsidRPr="008736E8" w:rsidRDefault="00A8084D" w:rsidP="00A8084D">
      <w:pPr>
        <w:spacing w:after="200" w:line="360" w:lineRule="auto"/>
        <w:jc w:val="both"/>
        <w:rPr>
          <w:rFonts w:ascii="Arial" w:eastAsia="Times New Roman" w:hAnsi="Arial" w:cs="Arial"/>
          <w:b/>
          <w:bCs/>
          <w:color w:val="FF0000"/>
          <w:sz w:val="22"/>
          <w:szCs w:val="22"/>
          <w:lang w:eastAsia="ar-SA"/>
        </w:rPr>
      </w:pPr>
      <w:r w:rsidRPr="008736E8">
        <w:rPr>
          <w:rFonts w:ascii="Arial" w:eastAsia="Times New Roman" w:hAnsi="Arial" w:cs="Arial"/>
          <w:b/>
          <w:bCs/>
          <w:color w:val="FF0000"/>
          <w:sz w:val="22"/>
          <w:szCs w:val="22"/>
          <w:lang w:eastAsia="ar-SA"/>
        </w:rPr>
        <w:t>Zamawiający nie dopuszcza urządzeń z zainstalowanym systemem Microsoft Windows w wersji edukacyjnej ponieważ jest on przeznaczony wyłącznie dla instytucji edukacyjnych.</w:t>
      </w:r>
    </w:p>
    <w:p w:rsidR="00A8084D" w:rsidRPr="00AA5727" w:rsidRDefault="00A8084D" w:rsidP="00A8084D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8E5E58" w:rsidRPr="00AA5727" w:rsidRDefault="008E5E58" w:rsidP="008E5E58">
      <w:pPr>
        <w:pStyle w:val="Akapitzlist"/>
        <w:spacing w:line="360" w:lineRule="auto"/>
        <w:rPr>
          <w:rStyle w:val="short-nametxt"/>
          <w:rFonts w:ascii="Arial" w:hAnsi="Arial" w:cs="Arial"/>
          <w:sz w:val="22"/>
          <w:szCs w:val="22"/>
        </w:rPr>
      </w:pPr>
    </w:p>
    <w:p w:rsidR="008E5E58" w:rsidRPr="009E582D" w:rsidRDefault="008E5E58" w:rsidP="0087716A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9E582D">
        <w:rPr>
          <w:rFonts w:ascii="Arial" w:hAnsi="Arial" w:cs="Arial"/>
          <w:b/>
          <w:sz w:val="22"/>
          <w:szCs w:val="22"/>
        </w:rPr>
        <w:t>Moni</w:t>
      </w:r>
      <w:r w:rsidR="009E582D" w:rsidRPr="009E582D">
        <w:rPr>
          <w:rFonts w:ascii="Arial" w:hAnsi="Arial" w:cs="Arial"/>
          <w:b/>
          <w:sz w:val="22"/>
          <w:szCs w:val="22"/>
        </w:rPr>
        <w:t xml:space="preserve">tor (7 </w:t>
      </w:r>
      <w:proofErr w:type="spellStart"/>
      <w:r w:rsidR="009E582D" w:rsidRPr="009E582D">
        <w:rPr>
          <w:rFonts w:ascii="Arial" w:hAnsi="Arial" w:cs="Arial"/>
          <w:b/>
          <w:sz w:val="22"/>
          <w:szCs w:val="22"/>
        </w:rPr>
        <w:t>szt</w:t>
      </w:r>
      <w:proofErr w:type="spellEnd"/>
      <w:r w:rsidR="009E582D" w:rsidRPr="009E582D">
        <w:rPr>
          <w:rFonts w:ascii="Arial" w:hAnsi="Arial" w:cs="Arial"/>
          <w:b/>
          <w:sz w:val="22"/>
          <w:szCs w:val="22"/>
        </w:rPr>
        <w:t>)</w:t>
      </w:r>
      <w:r w:rsidRPr="009E582D">
        <w:rPr>
          <w:rFonts w:ascii="Arial" w:hAnsi="Arial" w:cs="Arial"/>
          <w:b/>
          <w:sz w:val="22"/>
          <w:szCs w:val="22"/>
        </w:rPr>
        <w:t xml:space="preserve"> </w:t>
      </w:r>
      <w:r w:rsidR="009E582D" w:rsidRPr="009E582D">
        <w:rPr>
          <w:rFonts w:ascii="Arial" w:hAnsi="Arial" w:cs="Arial"/>
          <w:b/>
          <w:sz w:val="22"/>
          <w:szCs w:val="22"/>
        </w:rPr>
        <w:t>- specyfikacja:</w:t>
      </w:r>
    </w:p>
    <w:p w:rsidR="008E5E58" w:rsidRPr="00AA5727" w:rsidRDefault="008E5E58" w:rsidP="008E5E58">
      <w:pPr>
        <w:spacing w:line="360" w:lineRule="auto"/>
        <w:rPr>
          <w:rFonts w:ascii="Arial" w:hAnsi="Arial" w:cs="Arial"/>
          <w:sz w:val="22"/>
          <w:szCs w:val="22"/>
        </w:rPr>
      </w:pP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Przekątna ekranu: 23,8"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Powłoka matrycy: Matowa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Rodzaj matrycy: LED, IPS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Typ ekranu: Płaski Rozdzielczość ekranu: 1920 x 1080 (</w:t>
      </w:r>
      <w:proofErr w:type="spellStart"/>
      <w:r w:rsidRPr="00AA5727">
        <w:rPr>
          <w:rFonts w:ascii="Arial" w:hAnsi="Arial" w:cs="Arial"/>
          <w:sz w:val="22"/>
          <w:szCs w:val="22"/>
        </w:rPr>
        <w:t>FullHD</w:t>
      </w:r>
      <w:proofErr w:type="spellEnd"/>
      <w:r w:rsidRPr="00AA5727">
        <w:rPr>
          <w:rFonts w:ascii="Arial" w:hAnsi="Arial" w:cs="Arial"/>
          <w:sz w:val="22"/>
          <w:szCs w:val="22"/>
        </w:rPr>
        <w:t>)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Format obrazu: 16:9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Częstotliwość odświeżania ekranu 75 Hz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Liczba wyświetlanych kolorów: 16,7 mln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Czas reakcji: 5 ms (GTG)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Technologia synchronizacji: </w:t>
      </w:r>
      <w:proofErr w:type="spellStart"/>
      <w:r w:rsidRPr="00AA5727">
        <w:rPr>
          <w:rFonts w:ascii="Arial" w:hAnsi="Arial" w:cs="Arial"/>
          <w:sz w:val="22"/>
          <w:szCs w:val="22"/>
        </w:rPr>
        <w:t>FreeSync</w:t>
      </w:r>
      <w:proofErr w:type="spellEnd"/>
      <w:r w:rsidRPr="00AA5727">
        <w:rPr>
          <w:rFonts w:ascii="Arial" w:hAnsi="Arial" w:cs="Arial"/>
          <w:sz w:val="22"/>
          <w:szCs w:val="22"/>
        </w:rPr>
        <w:t>™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Technologia ochrony oczu: </w:t>
      </w:r>
    </w:p>
    <w:p w:rsidR="008E5E58" w:rsidRPr="00AA5727" w:rsidRDefault="008E5E58" w:rsidP="0087716A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Redukcja migotania (</w:t>
      </w:r>
      <w:proofErr w:type="spellStart"/>
      <w:r w:rsidRPr="00AA5727">
        <w:rPr>
          <w:rFonts w:ascii="Arial" w:hAnsi="Arial" w:cs="Arial"/>
          <w:sz w:val="22"/>
          <w:szCs w:val="22"/>
        </w:rPr>
        <w:t>Flicker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5727">
        <w:rPr>
          <w:rFonts w:ascii="Arial" w:hAnsi="Arial" w:cs="Arial"/>
          <w:sz w:val="22"/>
          <w:szCs w:val="22"/>
        </w:rPr>
        <w:t>free</w:t>
      </w:r>
      <w:proofErr w:type="spellEnd"/>
      <w:r w:rsidRPr="00AA5727">
        <w:rPr>
          <w:rFonts w:ascii="Arial" w:hAnsi="Arial" w:cs="Arial"/>
          <w:sz w:val="22"/>
          <w:szCs w:val="22"/>
        </w:rPr>
        <w:t>)</w:t>
      </w:r>
    </w:p>
    <w:p w:rsidR="008E5E58" w:rsidRPr="00AA5727" w:rsidRDefault="008E5E58" w:rsidP="0087716A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Filtr światła niebieskiego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Jasność 250 cd/m²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Kontrast statyczny: 1 000:1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Kontrast dynamiczny: Mega ∞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Kąt widzenia w poziomie: 178 stopni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Kąt widzenia w pionie: 178 stopni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>Złącza:</w:t>
      </w:r>
    </w:p>
    <w:p w:rsidR="008E5E58" w:rsidRPr="00AA5727" w:rsidRDefault="008E5E58" w:rsidP="0087716A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VGA (</w:t>
      </w:r>
      <w:proofErr w:type="spellStart"/>
      <w:r w:rsidRPr="00AA5727">
        <w:rPr>
          <w:rFonts w:ascii="Arial" w:hAnsi="Arial" w:cs="Arial"/>
          <w:sz w:val="22"/>
          <w:szCs w:val="22"/>
        </w:rPr>
        <w:t>D-sub</w:t>
      </w:r>
      <w:proofErr w:type="spellEnd"/>
      <w:r w:rsidRPr="00AA5727">
        <w:rPr>
          <w:rFonts w:ascii="Arial" w:hAnsi="Arial" w:cs="Arial"/>
          <w:sz w:val="22"/>
          <w:szCs w:val="22"/>
        </w:rPr>
        <w:t>) - 1 szt.</w:t>
      </w:r>
    </w:p>
    <w:p w:rsidR="008E5E58" w:rsidRPr="00AA5727" w:rsidRDefault="008E5E58" w:rsidP="0087716A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HDMI - 1 szt.</w:t>
      </w:r>
    </w:p>
    <w:p w:rsidR="008E5E58" w:rsidRPr="00AA5727" w:rsidRDefault="008E5E58" w:rsidP="0087716A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DC-in (wejście zasilania) - 1 szt.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Regulacja kąta pochylenia (</w:t>
      </w:r>
      <w:proofErr w:type="spellStart"/>
      <w:r w:rsidRPr="00AA5727">
        <w:rPr>
          <w:rFonts w:ascii="Arial" w:hAnsi="Arial" w:cs="Arial"/>
          <w:sz w:val="22"/>
          <w:szCs w:val="22"/>
        </w:rPr>
        <w:t>Tilt</w:t>
      </w:r>
      <w:proofErr w:type="spellEnd"/>
      <w:r w:rsidRPr="00AA5727">
        <w:rPr>
          <w:rFonts w:ascii="Arial" w:hAnsi="Arial" w:cs="Arial"/>
          <w:sz w:val="22"/>
          <w:szCs w:val="22"/>
        </w:rPr>
        <w:t>): Tak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Kolor: Czarny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Dodatkowe informacje</w:t>
      </w:r>
    </w:p>
    <w:p w:rsidR="008E5E58" w:rsidRPr="00AA5727" w:rsidRDefault="008E5E58" w:rsidP="0087716A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Możliwość zabezpieczenia linką (</w:t>
      </w:r>
      <w:proofErr w:type="spellStart"/>
      <w:r w:rsidRPr="00AA5727">
        <w:rPr>
          <w:rFonts w:ascii="Arial" w:hAnsi="Arial" w:cs="Arial"/>
          <w:sz w:val="22"/>
          <w:szCs w:val="22"/>
        </w:rPr>
        <w:t>Kensington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Lock)</w:t>
      </w:r>
    </w:p>
    <w:p w:rsidR="008E5E58" w:rsidRPr="00AA5727" w:rsidRDefault="008E5E58" w:rsidP="0087716A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Uchwyt na kable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Dołączone akcesoria</w:t>
      </w:r>
    </w:p>
    <w:p w:rsidR="008E5E58" w:rsidRPr="00AA5727" w:rsidRDefault="008E5E58" w:rsidP="0087716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Skrócona instrukcja obsługi</w:t>
      </w:r>
    </w:p>
    <w:p w:rsidR="008E5E58" w:rsidRPr="00AA5727" w:rsidRDefault="008E5E58" w:rsidP="0087716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Instrukcja bezpieczeństwa</w:t>
      </w:r>
    </w:p>
    <w:p w:rsidR="008E5E58" w:rsidRPr="00AA5727" w:rsidRDefault="008E5E58" w:rsidP="0087716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Zasilacz</w:t>
      </w:r>
    </w:p>
    <w:p w:rsidR="008E5E58" w:rsidRPr="00AA5727" w:rsidRDefault="008E5E58" w:rsidP="0087716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Kabel HDMI</w:t>
      </w:r>
    </w:p>
    <w:p w:rsidR="008E5E58" w:rsidRPr="00A8084D" w:rsidRDefault="008E5E58" w:rsidP="008E5E5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Gwarancja: 24 miesiące (gwarancja producenta)</w:t>
      </w:r>
    </w:p>
    <w:p w:rsidR="008E5E58" w:rsidRPr="00AA5727" w:rsidRDefault="008E5E58" w:rsidP="008E5E58">
      <w:pPr>
        <w:spacing w:line="360" w:lineRule="auto"/>
        <w:rPr>
          <w:rFonts w:ascii="Arial" w:hAnsi="Arial" w:cs="Arial"/>
          <w:sz w:val="22"/>
          <w:szCs w:val="22"/>
        </w:rPr>
      </w:pPr>
    </w:p>
    <w:p w:rsidR="008E5E58" w:rsidRPr="009E582D" w:rsidRDefault="008E5E58" w:rsidP="0087716A">
      <w:pPr>
        <w:pStyle w:val="Akapitzlist"/>
        <w:numPr>
          <w:ilvl w:val="0"/>
          <w:numId w:val="17"/>
        </w:numPr>
        <w:spacing w:line="360" w:lineRule="auto"/>
        <w:rPr>
          <w:rStyle w:val="short-nametxt"/>
          <w:rFonts w:ascii="Arial" w:hAnsi="Arial" w:cs="Arial"/>
          <w:b/>
          <w:sz w:val="22"/>
          <w:szCs w:val="22"/>
        </w:rPr>
      </w:pPr>
      <w:r w:rsidRPr="009E582D">
        <w:rPr>
          <w:rStyle w:val="short-nametxt"/>
          <w:rFonts w:ascii="Arial" w:hAnsi="Arial" w:cs="Arial"/>
          <w:b/>
          <w:sz w:val="22"/>
          <w:szCs w:val="22"/>
        </w:rPr>
        <w:t>O</w:t>
      </w:r>
      <w:r w:rsidR="009E582D" w:rsidRPr="009E582D">
        <w:rPr>
          <w:rStyle w:val="short-nametxt"/>
          <w:rFonts w:ascii="Arial" w:hAnsi="Arial" w:cs="Arial"/>
          <w:b/>
          <w:sz w:val="22"/>
          <w:szCs w:val="22"/>
        </w:rPr>
        <w:t>programowanie biurowe (7</w:t>
      </w:r>
      <w:r w:rsidRPr="009E582D">
        <w:rPr>
          <w:rStyle w:val="short-nametxt"/>
          <w:rFonts w:ascii="Arial" w:hAnsi="Arial" w:cs="Arial"/>
          <w:b/>
          <w:sz w:val="22"/>
          <w:szCs w:val="22"/>
        </w:rPr>
        <w:t xml:space="preserve"> szt</w:t>
      </w:r>
      <w:r w:rsidR="009E582D">
        <w:rPr>
          <w:rStyle w:val="short-nametxt"/>
          <w:rFonts w:ascii="Arial" w:hAnsi="Arial" w:cs="Arial"/>
          <w:b/>
          <w:sz w:val="22"/>
          <w:szCs w:val="22"/>
        </w:rPr>
        <w:t>.</w:t>
      </w:r>
      <w:r w:rsidRPr="009E582D">
        <w:rPr>
          <w:rStyle w:val="short-nametxt"/>
          <w:rFonts w:ascii="Arial" w:hAnsi="Arial" w:cs="Arial"/>
          <w:b/>
          <w:sz w:val="22"/>
          <w:szCs w:val="22"/>
        </w:rPr>
        <w:t xml:space="preserve">) </w:t>
      </w:r>
      <w:r w:rsidR="009E582D" w:rsidRPr="009E582D">
        <w:rPr>
          <w:rFonts w:ascii="Arial" w:hAnsi="Arial" w:cs="Arial"/>
          <w:b/>
          <w:sz w:val="22"/>
          <w:szCs w:val="22"/>
        </w:rPr>
        <w:t>- specyfikacja:</w:t>
      </w:r>
    </w:p>
    <w:p w:rsidR="008E5E58" w:rsidRPr="00AA5727" w:rsidRDefault="008E5E58" w:rsidP="008E5E58">
      <w:pPr>
        <w:pStyle w:val="Akapitzlist"/>
        <w:spacing w:line="360" w:lineRule="auto"/>
        <w:rPr>
          <w:rStyle w:val="short-nametxt"/>
          <w:rFonts w:ascii="Arial" w:hAnsi="Arial" w:cs="Arial"/>
          <w:b/>
          <w:sz w:val="22"/>
          <w:szCs w:val="22"/>
        </w:rPr>
      </w:pP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Licencja wieczysta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Wersja językowa: Pełna polska wersja jęz</w:t>
      </w:r>
      <w:r>
        <w:rPr>
          <w:rFonts w:ascii="Arial" w:hAnsi="Arial" w:cs="Arial"/>
          <w:sz w:val="22"/>
          <w:szCs w:val="22"/>
          <w:lang w:eastAsia="en-US"/>
        </w:rPr>
        <w:t>ykowa interfejsu użytkownika,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Oprogramowanie musi umożliwiać dostosowanie dokumentów i szablonów do potrzeb instytucji oraz udostępniać narzędzia umożliwiające dystrybucję odpowiednich szablonów do właściwych odbiorców,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W skład oprogramowania muszą wchodzić narzędzia programistyczne umożliwiające automaty</w:t>
      </w:r>
      <w:r>
        <w:rPr>
          <w:rFonts w:ascii="Arial" w:hAnsi="Arial" w:cs="Arial"/>
          <w:sz w:val="22"/>
          <w:szCs w:val="22"/>
          <w:lang w:eastAsia="en-US"/>
        </w:rPr>
        <w:t xml:space="preserve">zację pracy </w:t>
      </w:r>
      <w:r w:rsidRPr="00AA5727">
        <w:rPr>
          <w:rFonts w:ascii="Arial" w:hAnsi="Arial" w:cs="Arial"/>
          <w:sz w:val="22"/>
          <w:szCs w:val="22"/>
          <w:lang w:eastAsia="en-US"/>
        </w:rPr>
        <w:t>i wymianę danych pomiędzy dokumentami i aplikacjami (język makropoleceń, język skryp</w:t>
      </w:r>
      <w:r>
        <w:rPr>
          <w:rFonts w:ascii="Arial" w:hAnsi="Arial" w:cs="Arial"/>
          <w:sz w:val="22"/>
          <w:szCs w:val="22"/>
          <w:lang w:eastAsia="en-US"/>
        </w:rPr>
        <w:t>towy),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Do aplikacji musi być dostępna pełna dokumentacja w języku pol</w:t>
      </w:r>
      <w:r>
        <w:rPr>
          <w:rFonts w:ascii="Arial" w:hAnsi="Arial" w:cs="Arial"/>
          <w:sz w:val="22"/>
          <w:szCs w:val="22"/>
          <w:lang w:eastAsia="en-US"/>
        </w:rPr>
        <w:t>skim,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Pakiet zintegrowanych aplikacji biurowych musi zawierać: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edytor tekstu,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arkusz kalkulacyjny,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narzędzie do przygotowywania i prowadzenia prezentacji,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narzędzie do tworzenia drukowanych materiałów informacyjnych,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narzędzie zarządzania informacją prywatą (pocztą elektroniczną, kalendarzem, kontaktami i zadaniami),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lastRenderedPageBreak/>
        <w:t>– narzędzie do tworzenia notatek przy pomocy klawiatury lub notatek odręcznych na ekranie urządzenia typ</w:t>
      </w:r>
      <w:r>
        <w:rPr>
          <w:rFonts w:ascii="Arial" w:hAnsi="Arial" w:cs="Arial"/>
          <w:sz w:val="22"/>
          <w:szCs w:val="22"/>
          <w:lang w:eastAsia="en-US"/>
        </w:rPr>
        <w:t>u tablet PC z mechanizmem OCR.</w:t>
      </w:r>
    </w:p>
    <w:p w:rsidR="008E5E58" w:rsidRDefault="008E5E58" w:rsidP="008E5E58">
      <w:pPr>
        <w:pStyle w:val="embedded"/>
        <w:shd w:val="clear" w:color="auto" w:fill="FCFCFC"/>
        <w:spacing w:before="30" w:beforeAutospacing="0" w:after="30" w:afterAutospacing="0" w:line="360" w:lineRule="auto"/>
        <w:ind w:left="720"/>
        <w:rPr>
          <w:rFonts w:ascii="Arial" w:hAnsi="Arial" w:cs="Arial"/>
          <w:sz w:val="22"/>
          <w:szCs w:val="22"/>
          <w:lang w:eastAsia="en-US"/>
        </w:rPr>
      </w:pPr>
    </w:p>
    <w:p w:rsidR="008E5E58" w:rsidRDefault="008E5E58" w:rsidP="008E5E58">
      <w:pPr>
        <w:pStyle w:val="embedded"/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edytora tekstu: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edycja i formatowanie tekstu w języku polskim wraz z obsługą języka polskiego w zakresie sprawdzania pisowni i poprawności gramatycznej oraz funkcjonalnością słownika wyrazów bliskoznacznych i autokorekty,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wstawianie oraz formatowanie tabel,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wstawianie oraz formatowanie obiektów graficznych,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wstawianie wykresów i tabel z arkusza kalkulacyjnego (wliczając tabele przestawne),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automatyczne numerowanie rozdziałów, punktów, akapitów, tabel i rysunków,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automatyczne tworzenie spisów treści,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formatowanie nagłówków i stopek stron,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sprawdzanie pisowni w języku polskim,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śledzenie zmian wprowadzonych przez użytkowników,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nagrywanie, tworzenie i edycję makr automatyzujących wykonywanie czynności,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określenie układu strony (pionowa/pozioma),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 xml:space="preserve">• wykonywanie korespondencji seryjnej bazując na danych adresowych pochodzących z arkusza kalkulacyjnego 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i z narzędzia do zarządzania informacją prywatną,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zabezpieczenie dokumentów hasłem przed odczytem oraz przed wprowadzaniem modyfikacji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:rsidR="008E5E58" w:rsidRDefault="008E5E58" w:rsidP="008E5E58">
      <w:pPr>
        <w:pStyle w:val="embedded"/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</w:p>
    <w:p w:rsidR="008E5E58" w:rsidRPr="00AA5727" w:rsidRDefault="008E5E58" w:rsidP="008E5E58">
      <w:pPr>
        <w:pStyle w:val="embedded"/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b/>
          <w:sz w:val="22"/>
          <w:szCs w:val="22"/>
          <w:lang w:eastAsia="ar-SA"/>
        </w:rPr>
      </w:pP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arkusza kalkulacyjnego: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raportów tabelarycznych,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wykresów liniowych (wraz z linią trendu), słupkowych, kołowych,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arkuszy kalkulacyjnych zawierających teksty, dane liczbowe oraz formuły przeprowadzające operacje matematyczne, logiczne, tekstowe, statystyczne oraz operacje na danych finansowych i na miarach czasu,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 xml:space="preserve">• tworzenie raportów z zewnętrznych źródeł danych (inne arkusze kalkulacyjne, bazy danych zgodne z ODBC, pliki tekstowe, pliki XML, </w:t>
      </w:r>
      <w:proofErr w:type="spellStart"/>
      <w:r w:rsidRPr="00AA5727">
        <w:rPr>
          <w:rFonts w:ascii="Arial" w:hAnsi="Arial" w:cs="Arial"/>
          <w:sz w:val="22"/>
          <w:szCs w:val="22"/>
          <w:lang w:eastAsia="en-US"/>
        </w:rPr>
        <w:t>webservice</w:t>
      </w:r>
      <w:proofErr w:type="spellEnd"/>
      <w:r w:rsidRPr="00AA5727">
        <w:rPr>
          <w:rFonts w:ascii="Arial" w:hAnsi="Arial" w:cs="Arial"/>
          <w:sz w:val="22"/>
          <w:szCs w:val="22"/>
          <w:lang w:eastAsia="en-US"/>
        </w:rPr>
        <w:t>),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obsługę kostek OLAP oraz tworzenie i edycję kwerend bazodanowych i webowych. Narzędzia wspomagające analizę statystyczną i finansową, analizę wariantową i rozwiązywanie problemów optymalizacyjnych,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raportów tabeli przestawnych umożliwiających dynamiczną zmianę wymiarów oraz wykresów bazujących na danych z tabeli przestawnych,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lastRenderedPageBreak/>
        <w:t>• wyszukiwanie i zmianę danych,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wykonywanie analiz danych przy użyciu formatowania warunkowego,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nazywanie komórek arkusza i odwoływanie się w formułach po takiej nazwie,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nagrywanie, tworzenie i edycję makr automatyzujących wykonywanie czynności,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formatowanie czasu, daty i wartości finansowych z polskich formatem,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zapis wielu arkuszy kalkulacyjnych w jednym pliku,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zabezpieczenie dokumentów hasłem przed odczytem, oraz przed wprowadzaniem modyfikacji.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narzędzia do przygotowania i prowadzenia prezentacji: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przygotowanie prezentacji multimedialnych, które będą prezentowane przy użyciu projektora multimedialnego,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drukowanie w formacie umożliwiającym robienie notatek,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zapisanie jako prezentacja tylko do odczytu,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nagrywanie narracji i dołączanie jej do prezentacji,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opatrywanie slajdów notatkami dla prezentera,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umieszczanie i formatowanie tekstów, obiektów graficznych, tabel, nagrań dźwiękowych i wideo,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umieszczanie tabeli i wykresów pochodzących z arkusza kalkulacyjnego,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odświeżenie wykresu znajdującego się w prezentacji po zmianie danych w źródłowym arkuszu kalkulacyjnym,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możliwość tworzenia animacji obiektów i całych slajdów,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prowadzenie prezentacji w trybie prezentera, gdzie slajdy są widoczne na jednym monitorze lub projektorze, a na drugim widoczne są slajdy i notatki prezentera.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narzędzia do tworzenia drukowanych materiałów informacyjnych: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i edycję drukowanych materiałów informacyjnych,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materiałów przy użyciu dostępnych z narzędziem szablonów: broszur, biuletynów, katalogów,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edycję poszczególnych stron materiałów,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podział treści na kolumny,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umieszczanie elementów graficznych,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wykorzystanie mechanizmu korespondencji seryjnej,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płynne przesuwanie elementów po całej stronie publikacji,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eksport publikacji do formatu PDF oraz TIFF,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lastRenderedPageBreak/>
        <w:t>• wydruk publikacji,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możliwość przygotowania materiałów do wydruku w standardzie CMYK.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narzędzia do zarządzania informacją prywatną (pocztą elektroniczną, kalendarzem, kontaktami i zadaniami):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pobieranie i wysyłanie poczty elektronicznej z serwera pocztowego,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filtrowanie niechcianej poczty elektronicznej (SPAM) oraz określanie listy zablokowanych i bezpiecznych nadawców,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katalogów, pozwalających katalogować pocztę elektroniczną,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automatyczne grupowanie poczty o tym samym tytule,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reguł przenoszących automatycznie nową pocztę elektroniczną do określonych katalogów bazując na słowach zawartych w tytule, adresie nadawcy i odbiorcy,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oflagowanie poczty elektronicznej z określeniem terminu przypomnienia,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zarządzanie kalendarzem,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udostępnianie kalendarza innym użytkownikom,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przeglądanie kalendarza innych użytkowników,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zaproszenie uczestników na spotkanie, co po ich akceptacji powoduje automatyczne wprowadzenie spotkania w ich kalendarzach,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zarządzanie listą zadań,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zlecanie zadań innym użytkownikom,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zarządzanie listą kontaktów,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udostępnianie listy kontaktów innym użytkownikom,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 xml:space="preserve">• przeglądanie listy kontaktów innych użytkowników, 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możliwość przesyłania kontaktów innym użytkownikom.</w:t>
      </w:r>
    </w:p>
    <w:p w:rsidR="008E5E58" w:rsidRPr="008736E8" w:rsidRDefault="008E5E58" w:rsidP="008E5E58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</w:p>
    <w:p w:rsidR="008E5E58" w:rsidRPr="008736E8" w:rsidRDefault="008E5E58" w:rsidP="008E5E58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color w:val="FF0000"/>
          <w:kern w:val="0"/>
          <w:sz w:val="22"/>
          <w:szCs w:val="22"/>
          <w:lang w:bidi="ar-SA"/>
        </w:rPr>
      </w:pPr>
      <w:r w:rsidRPr="008736E8">
        <w:rPr>
          <w:rFonts w:ascii="Arial" w:hAnsi="Arial" w:cs="Arial"/>
          <w:b/>
          <w:color w:val="FF0000"/>
          <w:kern w:val="0"/>
          <w:sz w:val="22"/>
          <w:szCs w:val="22"/>
          <w:lang w:bidi="ar-SA"/>
        </w:rPr>
        <w:t>Zamawiający nie dopuszcza urządzeń z zainstalowanym oprogramowaniem w wersji edukacyjnej ponieważ jest ono przeznaczony wyłącznie dla instytucji edukacyjnych.</w:t>
      </w:r>
    </w:p>
    <w:p w:rsidR="000B64AB" w:rsidRDefault="000B64AB" w:rsidP="008E5E58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</w:p>
    <w:p w:rsidR="000B64AB" w:rsidRPr="009E582D" w:rsidRDefault="000B64AB" w:rsidP="000B64AB">
      <w:pPr>
        <w:pStyle w:val="Akapitzlist"/>
        <w:widowControl/>
        <w:numPr>
          <w:ilvl w:val="0"/>
          <w:numId w:val="8"/>
        </w:numPr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  <w:r>
        <w:rPr>
          <w:rFonts w:ascii="Arial" w:hAnsi="Arial" w:cs="Arial"/>
          <w:b/>
          <w:noProof/>
          <w:sz w:val="22"/>
          <w:szCs w:val="22"/>
        </w:rPr>
        <w:t>Urządzenia podtrzymujące</w:t>
      </w:r>
      <w:r w:rsidRPr="007F1C3A">
        <w:rPr>
          <w:rFonts w:ascii="Arial" w:hAnsi="Arial" w:cs="Arial"/>
          <w:b/>
          <w:noProof/>
          <w:sz w:val="22"/>
          <w:szCs w:val="22"/>
        </w:rPr>
        <w:t xml:space="preserve"> napięcie UPS</w:t>
      </w:r>
      <w:r w:rsidR="009E582D">
        <w:rPr>
          <w:rFonts w:ascii="Arial" w:hAnsi="Arial" w:cs="Arial"/>
          <w:b/>
          <w:noProof/>
          <w:sz w:val="22"/>
          <w:szCs w:val="22"/>
        </w:rPr>
        <w:t xml:space="preserve"> (</w:t>
      </w:r>
      <w:r>
        <w:rPr>
          <w:rFonts w:ascii="Arial" w:hAnsi="Arial" w:cs="Arial"/>
          <w:b/>
          <w:noProof/>
          <w:sz w:val="22"/>
          <w:szCs w:val="22"/>
        </w:rPr>
        <w:t>20 szt</w:t>
      </w:r>
      <w:r w:rsidR="009E582D">
        <w:rPr>
          <w:rFonts w:ascii="Arial" w:hAnsi="Arial" w:cs="Arial"/>
          <w:b/>
          <w:noProof/>
          <w:sz w:val="22"/>
          <w:szCs w:val="22"/>
        </w:rPr>
        <w:t xml:space="preserve">) </w:t>
      </w:r>
      <w:r w:rsidR="009E582D" w:rsidRPr="009E582D">
        <w:rPr>
          <w:rFonts w:ascii="Arial" w:hAnsi="Arial" w:cs="Arial"/>
          <w:b/>
          <w:sz w:val="22"/>
          <w:szCs w:val="22"/>
        </w:rPr>
        <w:t>- specyfikacja</w:t>
      </w:r>
      <w:r w:rsidR="009E582D" w:rsidRPr="009E582D">
        <w:rPr>
          <w:rFonts w:ascii="Arial" w:hAnsi="Arial" w:cs="Arial"/>
          <w:sz w:val="22"/>
          <w:szCs w:val="22"/>
        </w:rPr>
        <w:t>:</w:t>
      </w:r>
    </w:p>
    <w:p w:rsidR="008E5E58" w:rsidRPr="009E582D" w:rsidRDefault="008E5E58" w:rsidP="009E582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  <w:bookmarkStart w:id="0" w:name="_GoBack"/>
      <w:bookmarkEnd w:id="0"/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Topologia: </w:t>
      </w:r>
      <w:proofErr w:type="spellStart"/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Line-interactive</w:t>
      </w:r>
      <w:proofErr w:type="spellEnd"/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Moc pozorna: 850 VA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Moc skuteczna: 425 W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Napięcie wejściowe: 165 - 290 V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Kształt napięcia wyjściowego: Sinusoida symulowana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lastRenderedPageBreak/>
        <w:t xml:space="preserve">Gniazda wyjściowe: 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230 V EU - 3 szt.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RJ-11 (in/out)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RJ-45 (in/out)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USB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Czas przełączania: 4 ms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Czas podtrzymania dla obciążenia 50%: 6 min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Średni czas ładowania: 6 h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Interfejs komunikacyjny: USB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Zabezpieczenia: 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5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Przeciążeniowe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5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Zabezpieczenie przed rozładowaniem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Sygnalizacja pracy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6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Wyświetlacz LCD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6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Diody LED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Typ obudowy: Tower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Dodatkowe informacje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7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Zabezpieczenie linii LAN (RJ45)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7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Zabezpieczenie linii tel. (RJ11)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7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Dioda LED wymiany akumulatora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7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Alarmy dźwiękowe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Gwarancja: 24 miesiące (gwarancja producenta)</w:t>
      </w:r>
    </w:p>
    <w:p w:rsidR="008E5E58" w:rsidRPr="00AA5727" w:rsidRDefault="008E5E58" w:rsidP="008E5E58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</w:p>
    <w:p w:rsidR="008E5E58" w:rsidRPr="00AA5727" w:rsidRDefault="008E5E58" w:rsidP="008E5E58">
      <w:pPr>
        <w:pStyle w:val="Akapitzlist"/>
        <w:widowControl/>
        <w:suppressAutoHyphens w:val="0"/>
        <w:autoSpaceDE w:val="0"/>
        <w:adjustRightInd w:val="0"/>
        <w:spacing w:line="360" w:lineRule="auto"/>
        <w:ind w:left="1080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</w:p>
    <w:sectPr w:rsidR="008E5E58" w:rsidRPr="00AA5727" w:rsidSect="003307AA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90F" w:rsidRDefault="0024290F" w:rsidP="00E106A5">
      <w:r>
        <w:separator/>
      </w:r>
    </w:p>
  </w:endnote>
  <w:endnote w:type="continuationSeparator" w:id="0">
    <w:p w:rsidR="0024290F" w:rsidRDefault="0024290F" w:rsidP="00E10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epoloItcTEEBo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Pr="001E3C46" w:rsidRDefault="00C17726" w:rsidP="00C17726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C17726" w:rsidRDefault="00C177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90F" w:rsidRDefault="0024290F" w:rsidP="00E106A5">
      <w:r>
        <w:separator/>
      </w:r>
    </w:p>
  </w:footnote>
  <w:footnote w:type="continuationSeparator" w:id="0">
    <w:p w:rsidR="0024290F" w:rsidRDefault="0024290F" w:rsidP="00E10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A5" w:rsidRDefault="00E106A5" w:rsidP="00E106A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84455</wp:posOffset>
          </wp:positionH>
          <wp:positionV relativeFrom="paragraph">
            <wp:posOffset>-335280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06A5" w:rsidRDefault="00E106A5" w:rsidP="00E106A5">
    <w:pPr>
      <w:pStyle w:val="Nagwek"/>
    </w:pPr>
  </w:p>
  <w:p w:rsidR="00E106A5" w:rsidRPr="00E106A5" w:rsidRDefault="00E106A5" w:rsidP="00E106A5">
    <w:pPr>
      <w:pStyle w:val="Stopka"/>
      <w:tabs>
        <w:tab w:val="clear" w:pos="4536"/>
      </w:tabs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4"/>
    <w:lvl w:ilvl="0">
      <w:start w:val="2"/>
      <w:numFmt w:val="decimal"/>
      <w:pStyle w:val="111Konspektnumerowany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  <w:sz w:val="20"/>
        <w:szCs w:val="20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  <w:sz w:val="20"/>
        <w:szCs w:val="20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  <w:sz w:val="20"/>
        <w:szCs w:val="20"/>
      </w:r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pStyle w:val="Nagwek5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1E224522"/>
    <w:name w:val="WW8Num3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</w:rPr>
    </w:lvl>
  </w:abstractNum>
  <w:abstractNum w:abstractNumId="3">
    <w:nsid w:val="000F75D9"/>
    <w:multiLevelType w:val="multilevel"/>
    <w:tmpl w:val="BB44940C"/>
    <w:styleLink w:val="WW8Num40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4">
    <w:nsid w:val="085856C4"/>
    <w:multiLevelType w:val="hybridMultilevel"/>
    <w:tmpl w:val="D254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9770F"/>
    <w:multiLevelType w:val="hybridMultilevel"/>
    <w:tmpl w:val="E2021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132BF"/>
    <w:multiLevelType w:val="hybridMultilevel"/>
    <w:tmpl w:val="28B87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32FE4"/>
    <w:multiLevelType w:val="hybridMultilevel"/>
    <w:tmpl w:val="8840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55485"/>
    <w:multiLevelType w:val="multilevel"/>
    <w:tmpl w:val="7208349C"/>
    <w:styleLink w:val="WW8Num39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9">
    <w:nsid w:val="13277B01"/>
    <w:multiLevelType w:val="hybridMultilevel"/>
    <w:tmpl w:val="1D302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B2605"/>
    <w:multiLevelType w:val="hybridMultilevel"/>
    <w:tmpl w:val="71A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72D0A"/>
    <w:multiLevelType w:val="multilevel"/>
    <w:tmpl w:val="05306430"/>
    <w:styleLink w:val="WW8Num11"/>
    <w:lvl w:ilvl="0">
      <w:start w:val="1"/>
      <w:numFmt w:val="decimal"/>
      <w:pStyle w:val="Nagwek51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">
    <w:nsid w:val="1EB40ED4"/>
    <w:multiLevelType w:val="hybridMultilevel"/>
    <w:tmpl w:val="26E22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65474"/>
    <w:multiLevelType w:val="hybridMultilevel"/>
    <w:tmpl w:val="78C0D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96CAE"/>
    <w:multiLevelType w:val="hybridMultilevel"/>
    <w:tmpl w:val="40F8D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4333A"/>
    <w:multiLevelType w:val="hybridMultilevel"/>
    <w:tmpl w:val="DB606C66"/>
    <w:lvl w:ilvl="0" w:tplc="250EC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661A5"/>
    <w:multiLevelType w:val="hybridMultilevel"/>
    <w:tmpl w:val="C2060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0EB6"/>
    <w:multiLevelType w:val="hybridMultilevel"/>
    <w:tmpl w:val="B576D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A06A1"/>
    <w:multiLevelType w:val="hybridMultilevel"/>
    <w:tmpl w:val="11346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378B0"/>
    <w:multiLevelType w:val="hybridMultilevel"/>
    <w:tmpl w:val="A10E0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849D2"/>
    <w:multiLevelType w:val="hybridMultilevel"/>
    <w:tmpl w:val="9D125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CE34AA"/>
    <w:multiLevelType w:val="hybridMultilevel"/>
    <w:tmpl w:val="73CCC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349C"/>
    <w:multiLevelType w:val="hybridMultilevel"/>
    <w:tmpl w:val="B81CB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A00D5"/>
    <w:multiLevelType w:val="hybridMultilevel"/>
    <w:tmpl w:val="1CAA2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E79BB"/>
    <w:multiLevelType w:val="multilevel"/>
    <w:tmpl w:val="B726B49C"/>
    <w:styleLink w:val="WW8Num54"/>
    <w:lvl w:ilvl="0">
      <w:start w:val="2"/>
      <w:numFmt w:val="decimal"/>
      <w:lvlText w:val="%1."/>
      <w:lvlJc w:val="left"/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eastAsia="Calibri" w:cs="Segoe UI"/>
        <w:sz w:val="20"/>
        <w:szCs w:val="20"/>
      </w:rPr>
    </w:lvl>
    <w:lvl w:ilvl="7">
      <w:numFmt w:val="none"/>
      <w:lvlText w:val="%8"/>
      <w:lvlJc w:val="left"/>
      <w:rPr>
        <w:rFonts w:eastAsia="Calibri" w:cs="Segoe UI"/>
        <w:sz w:val="20"/>
        <w:szCs w:val="20"/>
      </w:rPr>
    </w:lvl>
    <w:lvl w:ilvl="8">
      <w:start w:val="1"/>
      <w:numFmt w:val="decimal"/>
      <w:lvlText w:val="%1.%2.%3.%4.%5.%6.%7.%8.%9.."/>
      <w:lvlJc w:val="left"/>
      <w:rPr>
        <w:rFonts w:eastAsia="Calibri" w:cs="Segoe UI"/>
        <w:sz w:val="20"/>
        <w:szCs w:val="20"/>
      </w:rPr>
    </w:lvl>
  </w:abstractNum>
  <w:abstractNum w:abstractNumId="25">
    <w:nsid w:val="672A0840"/>
    <w:multiLevelType w:val="hybridMultilevel"/>
    <w:tmpl w:val="087A8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15A84"/>
    <w:multiLevelType w:val="hybridMultilevel"/>
    <w:tmpl w:val="B704A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C21A4"/>
    <w:multiLevelType w:val="hybridMultilevel"/>
    <w:tmpl w:val="E2BAB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21DD3"/>
    <w:multiLevelType w:val="multilevel"/>
    <w:tmpl w:val="C6F66BD8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9">
    <w:nsid w:val="7F813BF3"/>
    <w:multiLevelType w:val="hybridMultilevel"/>
    <w:tmpl w:val="5616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1"/>
  </w:num>
  <w:num w:numId="5">
    <w:abstractNumId w:val="8"/>
  </w:num>
  <w:num w:numId="6">
    <w:abstractNumId w:val="3"/>
  </w:num>
  <w:num w:numId="7">
    <w:abstractNumId w:val="28"/>
  </w:num>
  <w:num w:numId="8">
    <w:abstractNumId w:val="15"/>
  </w:num>
  <w:num w:numId="9">
    <w:abstractNumId w:val="9"/>
  </w:num>
  <w:num w:numId="10">
    <w:abstractNumId w:val="12"/>
  </w:num>
  <w:num w:numId="11">
    <w:abstractNumId w:val="17"/>
  </w:num>
  <w:num w:numId="12">
    <w:abstractNumId w:val="19"/>
  </w:num>
  <w:num w:numId="13">
    <w:abstractNumId w:val="23"/>
  </w:num>
  <w:num w:numId="14">
    <w:abstractNumId w:val="7"/>
  </w:num>
  <w:num w:numId="15">
    <w:abstractNumId w:val="20"/>
  </w:num>
  <w:num w:numId="16">
    <w:abstractNumId w:val="10"/>
  </w:num>
  <w:num w:numId="17">
    <w:abstractNumId w:val="29"/>
  </w:num>
  <w:num w:numId="18">
    <w:abstractNumId w:val="13"/>
  </w:num>
  <w:num w:numId="19">
    <w:abstractNumId w:val="14"/>
  </w:num>
  <w:num w:numId="20">
    <w:abstractNumId w:val="6"/>
  </w:num>
  <w:num w:numId="21">
    <w:abstractNumId w:val="4"/>
  </w:num>
  <w:num w:numId="22">
    <w:abstractNumId w:val="18"/>
  </w:num>
  <w:num w:numId="23">
    <w:abstractNumId w:val="25"/>
  </w:num>
  <w:num w:numId="24">
    <w:abstractNumId w:val="27"/>
  </w:num>
  <w:num w:numId="25">
    <w:abstractNumId w:val="5"/>
  </w:num>
  <w:num w:numId="26">
    <w:abstractNumId w:val="16"/>
  </w:num>
  <w:num w:numId="27">
    <w:abstractNumId w:val="21"/>
  </w:num>
  <w:num w:numId="28">
    <w:abstractNumId w:val="26"/>
  </w:num>
  <w:num w:numId="29">
    <w:abstractNumId w:val="22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40F"/>
    <w:rsid w:val="000111B0"/>
    <w:rsid w:val="00042ABC"/>
    <w:rsid w:val="00073BDE"/>
    <w:rsid w:val="000741FE"/>
    <w:rsid w:val="000B64AB"/>
    <w:rsid w:val="000D108B"/>
    <w:rsid w:val="000D1E59"/>
    <w:rsid w:val="001100AE"/>
    <w:rsid w:val="00175EA2"/>
    <w:rsid w:val="0017694B"/>
    <w:rsid w:val="0020518D"/>
    <w:rsid w:val="00213391"/>
    <w:rsid w:val="00236E90"/>
    <w:rsid w:val="0024290F"/>
    <w:rsid w:val="00296551"/>
    <w:rsid w:val="002F032C"/>
    <w:rsid w:val="003307AA"/>
    <w:rsid w:val="0037730F"/>
    <w:rsid w:val="0038219A"/>
    <w:rsid w:val="00393C96"/>
    <w:rsid w:val="003A4E15"/>
    <w:rsid w:val="003D67B7"/>
    <w:rsid w:val="00417E31"/>
    <w:rsid w:val="0045786E"/>
    <w:rsid w:val="004B0767"/>
    <w:rsid w:val="004D2F50"/>
    <w:rsid w:val="004D6065"/>
    <w:rsid w:val="004F5C49"/>
    <w:rsid w:val="0053121C"/>
    <w:rsid w:val="00546B6D"/>
    <w:rsid w:val="00591A0D"/>
    <w:rsid w:val="005C0400"/>
    <w:rsid w:val="005D757C"/>
    <w:rsid w:val="005E5CE5"/>
    <w:rsid w:val="005E6762"/>
    <w:rsid w:val="005F4EBF"/>
    <w:rsid w:val="00620763"/>
    <w:rsid w:val="00626767"/>
    <w:rsid w:val="00645D07"/>
    <w:rsid w:val="00660930"/>
    <w:rsid w:val="00693DA2"/>
    <w:rsid w:val="006C791F"/>
    <w:rsid w:val="007D6E24"/>
    <w:rsid w:val="0087716A"/>
    <w:rsid w:val="008A2BD5"/>
    <w:rsid w:val="008D440F"/>
    <w:rsid w:val="008D5D64"/>
    <w:rsid w:val="008E5E58"/>
    <w:rsid w:val="00904E5D"/>
    <w:rsid w:val="00910F5D"/>
    <w:rsid w:val="00951F06"/>
    <w:rsid w:val="00955F1C"/>
    <w:rsid w:val="0097605C"/>
    <w:rsid w:val="00997291"/>
    <w:rsid w:val="009B62ED"/>
    <w:rsid w:val="009E582D"/>
    <w:rsid w:val="009F5633"/>
    <w:rsid w:val="00A7570B"/>
    <w:rsid w:val="00A8084D"/>
    <w:rsid w:val="00A919F9"/>
    <w:rsid w:val="00A9378D"/>
    <w:rsid w:val="00AC1AB5"/>
    <w:rsid w:val="00B27BF5"/>
    <w:rsid w:val="00B572A9"/>
    <w:rsid w:val="00B938AC"/>
    <w:rsid w:val="00B93A32"/>
    <w:rsid w:val="00BC7144"/>
    <w:rsid w:val="00BD0050"/>
    <w:rsid w:val="00BD1F02"/>
    <w:rsid w:val="00BE168A"/>
    <w:rsid w:val="00BE2A0A"/>
    <w:rsid w:val="00C17726"/>
    <w:rsid w:val="00C70E8C"/>
    <w:rsid w:val="00CB63A3"/>
    <w:rsid w:val="00D37E3B"/>
    <w:rsid w:val="00DD64B6"/>
    <w:rsid w:val="00E078C4"/>
    <w:rsid w:val="00E106A5"/>
    <w:rsid w:val="00E322EF"/>
    <w:rsid w:val="00E509BD"/>
    <w:rsid w:val="00E7128E"/>
    <w:rsid w:val="00E95438"/>
    <w:rsid w:val="00EA0CD6"/>
    <w:rsid w:val="00EE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E5E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E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E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7730F"/>
    <w:pPr>
      <w:keepNext/>
      <w:keepLines/>
      <w:numPr>
        <w:numId w:val="2"/>
      </w:numPr>
      <w:spacing w:before="200"/>
      <w:outlineLvl w:val="4"/>
    </w:pPr>
    <w:rPr>
      <w:rFonts w:ascii="Cambria" w:hAnsi="Cambria" w:cs="Times New Roman"/>
      <w:b/>
      <w:i/>
      <w:color w:val="3366FF"/>
      <w:kern w:val="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6A5"/>
  </w:style>
  <w:style w:type="paragraph" w:styleId="Stopka">
    <w:name w:val="footer"/>
    <w:basedOn w:val="Normalny"/>
    <w:link w:val="StopkaZnak"/>
    <w:unhideWhenUsed/>
    <w:rsid w:val="00E1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06A5"/>
  </w:style>
  <w:style w:type="character" w:customStyle="1" w:styleId="Nagwek5Znak">
    <w:name w:val="Nagłówek 5 Znak"/>
    <w:basedOn w:val="Domylnaczcionkaakapitu"/>
    <w:link w:val="Nagwek5"/>
    <w:uiPriority w:val="9"/>
    <w:rsid w:val="0037730F"/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paragraph" w:customStyle="1" w:styleId="111Konspektnumerowany">
    <w:name w:val="1.1.1 Konspektnumerowany"/>
    <w:basedOn w:val="Normalny"/>
    <w:rsid w:val="0037730F"/>
    <w:pPr>
      <w:numPr>
        <w:numId w:val="1"/>
      </w:numPr>
      <w:autoSpaceDE w:val="0"/>
      <w:spacing w:before="160"/>
    </w:pPr>
    <w:rPr>
      <w:rFonts w:eastAsia="Times New Roman" w:cs="Times New Roman"/>
      <w:kern w:val="2"/>
    </w:rPr>
  </w:style>
  <w:style w:type="paragraph" w:customStyle="1" w:styleId="1PODSTAWnew">
    <w:name w:val="1 PODSTAW new"/>
    <w:basedOn w:val="111Konspektnumerowany"/>
    <w:rsid w:val="0037730F"/>
    <w:rPr>
      <w:sz w:val="20"/>
    </w:rPr>
  </w:style>
  <w:style w:type="paragraph" w:customStyle="1" w:styleId="Nagwek51">
    <w:name w:val="Nagłówek 51"/>
    <w:basedOn w:val="Normalny"/>
    <w:next w:val="Normalny"/>
    <w:rsid w:val="00591A0D"/>
    <w:pPr>
      <w:keepNext/>
      <w:keepLines/>
      <w:numPr>
        <w:numId w:val="4"/>
      </w:numPr>
      <w:spacing w:before="200"/>
      <w:outlineLvl w:val="4"/>
    </w:pPr>
    <w:rPr>
      <w:rFonts w:ascii="Cambria" w:hAnsi="Cambria" w:cs="Times New Roman"/>
      <w:b/>
      <w:i/>
      <w:color w:val="3366FF"/>
      <w:sz w:val="20"/>
      <w:szCs w:val="20"/>
    </w:rPr>
  </w:style>
  <w:style w:type="numbering" w:customStyle="1" w:styleId="WW8Num54">
    <w:name w:val="WW8Num54"/>
    <w:basedOn w:val="Bezlisty"/>
    <w:rsid w:val="00591A0D"/>
    <w:pPr>
      <w:numPr>
        <w:numId w:val="3"/>
      </w:numPr>
    </w:pPr>
  </w:style>
  <w:style w:type="numbering" w:customStyle="1" w:styleId="WW8Num11">
    <w:name w:val="WW8Num11"/>
    <w:basedOn w:val="Bezlisty"/>
    <w:rsid w:val="00591A0D"/>
    <w:pPr>
      <w:numPr>
        <w:numId w:val="4"/>
      </w:numPr>
    </w:pPr>
  </w:style>
  <w:style w:type="numbering" w:customStyle="1" w:styleId="WW8Num39">
    <w:name w:val="WW8Num39"/>
    <w:basedOn w:val="Bezlisty"/>
    <w:rsid w:val="00591A0D"/>
    <w:pPr>
      <w:numPr>
        <w:numId w:val="5"/>
      </w:numPr>
    </w:pPr>
  </w:style>
  <w:style w:type="numbering" w:customStyle="1" w:styleId="WW8Num40">
    <w:name w:val="WW8Num40"/>
    <w:basedOn w:val="Bezlisty"/>
    <w:rsid w:val="004D6065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0D1E59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link w:val="Bezodstpw"/>
    <w:uiPriority w:val="1"/>
    <w:locked/>
    <w:rsid w:val="000D1E59"/>
    <w:rPr>
      <w:rFonts w:eastAsia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0D1E59"/>
    <w:rPr>
      <w:rFonts w:ascii="TiepoloItcTEEBoo" w:hAnsi="TiepoloItcTEEBoo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0D1E59"/>
    <w:pPr>
      <w:ind w:left="720"/>
      <w:contextualSpacing/>
    </w:pPr>
    <w:rPr>
      <w:rFonts w:ascii="TiepoloItcTEEBoo" w:hAnsi="TiepoloItcTEEBoo"/>
    </w:rPr>
  </w:style>
  <w:style w:type="paragraph" w:customStyle="1" w:styleId="Standard">
    <w:name w:val="Standard"/>
    <w:rsid w:val="000D1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1E59"/>
    <w:pPr>
      <w:spacing w:after="140" w:line="288" w:lineRule="auto"/>
    </w:pPr>
  </w:style>
  <w:style w:type="numbering" w:customStyle="1" w:styleId="WWOutlineListStyle">
    <w:name w:val="WW_OutlineListStyle"/>
    <w:rsid w:val="000D1E59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E5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-nametxt">
    <w:name w:val="short-name__txt"/>
    <w:basedOn w:val="Domylnaczcionkaakapitu"/>
    <w:rsid w:val="008E5E58"/>
  </w:style>
  <w:style w:type="paragraph" w:customStyle="1" w:styleId="embedded">
    <w:name w:val="embedded"/>
    <w:basedOn w:val="Normalny"/>
    <w:rsid w:val="008E5E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E5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E5E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E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E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7730F"/>
    <w:pPr>
      <w:keepNext/>
      <w:keepLines/>
      <w:numPr>
        <w:numId w:val="2"/>
      </w:numPr>
      <w:spacing w:before="200"/>
      <w:outlineLvl w:val="4"/>
    </w:pPr>
    <w:rPr>
      <w:rFonts w:ascii="Cambria" w:hAnsi="Cambria" w:cs="Times New Roman"/>
      <w:b/>
      <w:i/>
      <w:color w:val="3366FF"/>
      <w:kern w:val="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6A5"/>
  </w:style>
  <w:style w:type="paragraph" w:styleId="Stopka">
    <w:name w:val="footer"/>
    <w:basedOn w:val="Normalny"/>
    <w:link w:val="StopkaZnak"/>
    <w:unhideWhenUsed/>
    <w:rsid w:val="00E1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06A5"/>
  </w:style>
  <w:style w:type="character" w:customStyle="1" w:styleId="Nagwek5Znak">
    <w:name w:val="Nagłówek 5 Znak"/>
    <w:basedOn w:val="Domylnaczcionkaakapitu"/>
    <w:link w:val="Nagwek5"/>
    <w:uiPriority w:val="9"/>
    <w:rsid w:val="0037730F"/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paragraph" w:customStyle="1" w:styleId="111Konspektnumerowany">
    <w:name w:val="1.1.1 Konspektnumerowany"/>
    <w:basedOn w:val="Normalny"/>
    <w:rsid w:val="0037730F"/>
    <w:pPr>
      <w:numPr>
        <w:numId w:val="1"/>
      </w:numPr>
      <w:autoSpaceDE w:val="0"/>
      <w:spacing w:before="160"/>
    </w:pPr>
    <w:rPr>
      <w:rFonts w:eastAsia="Times New Roman" w:cs="Times New Roman"/>
      <w:kern w:val="2"/>
    </w:rPr>
  </w:style>
  <w:style w:type="paragraph" w:customStyle="1" w:styleId="1PODSTAWnew">
    <w:name w:val="1 PODSTAW new"/>
    <w:basedOn w:val="111Konspektnumerowany"/>
    <w:rsid w:val="0037730F"/>
    <w:rPr>
      <w:sz w:val="20"/>
    </w:rPr>
  </w:style>
  <w:style w:type="paragraph" w:customStyle="1" w:styleId="Nagwek51">
    <w:name w:val="Nagłówek 51"/>
    <w:basedOn w:val="Normalny"/>
    <w:next w:val="Normalny"/>
    <w:rsid w:val="00591A0D"/>
    <w:pPr>
      <w:keepNext/>
      <w:keepLines/>
      <w:numPr>
        <w:numId w:val="4"/>
      </w:numPr>
      <w:spacing w:before="200"/>
      <w:outlineLvl w:val="4"/>
    </w:pPr>
    <w:rPr>
      <w:rFonts w:ascii="Cambria" w:hAnsi="Cambria" w:cs="Times New Roman"/>
      <w:b/>
      <w:i/>
      <w:color w:val="3366FF"/>
      <w:sz w:val="20"/>
      <w:szCs w:val="20"/>
    </w:rPr>
  </w:style>
  <w:style w:type="numbering" w:customStyle="1" w:styleId="WW8Num54">
    <w:name w:val="WW8Num54"/>
    <w:basedOn w:val="Bezlisty"/>
    <w:rsid w:val="00591A0D"/>
    <w:pPr>
      <w:numPr>
        <w:numId w:val="3"/>
      </w:numPr>
    </w:pPr>
  </w:style>
  <w:style w:type="numbering" w:customStyle="1" w:styleId="WW8Num11">
    <w:name w:val="WW8Num11"/>
    <w:basedOn w:val="Bezlisty"/>
    <w:rsid w:val="00591A0D"/>
    <w:pPr>
      <w:numPr>
        <w:numId w:val="4"/>
      </w:numPr>
    </w:pPr>
  </w:style>
  <w:style w:type="numbering" w:customStyle="1" w:styleId="WW8Num39">
    <w:name w:val="WW8Num39"/>
    <w:basedOn w:val="Bezlisty"/>
    <w:rsid w:val="00591A0D"/>
    <w:pPr>
      <w:numPr>
        <w:numId w:val="5"/>
      </w:numPr>
    </w:pPr>
  </w:style>
  <w:style w:type="numbering" w:customStyle="1" w:styleId="WW8Num40">
    <w:name w:val="WW8Num40"/>
    <w:basedOn w:val="Bezlisty"/>
    <w:rsid w:val="004D6065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0D1E59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link w:val="Bezodstpw"/>
    <w:uiPriority w:val="1"/>
    <w:locked/>
    <w:rsid w:val="000D1E59"/>
    <w:rPr>
      <w:rFonts w:eastAsia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0D1E59"/>
    <w:rPr>
      <w:rFonts w:ascii="TiepoloItcTEEBoo" w:hAnsi="TiepoloItcTEEBoo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0D1E59"/>
    <w:pPr>
      <w:ind w:left="720"/>
      <w:contextualSpacing/>
    </w:pPr>
    <w:rPr>
      <w:rFonts w:ascii="TiepoloItcTEEBoo" w:hAnsi="TiepoloItcTEEBoo"/>
    </w:rPr>
  </w:style>
  <w:style w:type="paragraph" w:customStyle="1" w:styleId="Standard">
    <w:name w:val="Standard"/>
    <w:rsid w:val="000D1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1E59"/>
    <w:pPr>
      <w:spacing w:after="140" w:line="288" w:lineRule="auto"/>
    </w:pPr>
  </w:style>
  <w:style w:type="numbering" w:customStyle="1" w:styleId="WWOutlineListStyle">
    <w:name w:val="WW_OutlineListStyle"/>
    <w:rsid w:val="000D1E59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E5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-nametxt">
    <w:name w:val="short-name__txt"/>
    <w:basedOn w:val="Domylnaczcionkaakapitu"/>
    <w:rsid w:val="008E5E58"/>
  </w:style>
  <w:style w:type="paragraph" w:customStyle="1" w:styleId="embedded">
    <w:name w:val="embedded"/>
    <w:basedOn w:val="Normalny"/>
    <w:rsid w:val="008E5E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E5E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cpu_list.php" TargetMode="Externa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2402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Admin</cp:lastModifiedBy>
  <cp:revision>7</cp:revision>
  <cp:lastPrinted>2022-03-18T12:08:00Z</cp:lastPrinted>
  <dcterms:created xsi:type="dcterms:W3CDTF">2022-07-20T07:50:00Z</dcterms:created>
  <dcterms:modified xsi:type="dcterms:W3CDTF">2022-07-22T12:25:00Z</dcterms:modified>
</cp:coreProperties>
</file>